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190500" cy="74295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The Coca-Cola History Documentary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199048" cy="77628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48" cy="776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Questions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  <w:t xml:space="preserve">Name:____________________ Date: ____________ Period:_____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  <w:t xml:space="preserve">1.What did John Pemberton do in his life before becoming pharmacist?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  <w:t xml:space="preserve">2. What was “the most important Coke ever served”?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  <w:t xml:space="preserve">3. How did coupons help spread the popularity of Coca-Cola?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  <w:t xml:space="preserve">4. How did Coca-Cola separate itself from the competitors with its advertising?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  <w:t xml:space="preserve">5. What was the Coca-Cola Co. buying more than anyone else in the world by the start of World War I?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  <w:t xml:space="preserve">6. What was the largest business transaction in the history of the South?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  <w:t xml:space="preserve">7. What did Robert Woodruff see as Coca-Cola’s “secret asset” to boost sales?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  <w:t xml:space="preserve">8. What Coca-Cola’s most popular advertisement during the “golden age of advertising” between the world wars?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  <w:t xml:space="preserve">9. Why did Coca-Cola sales remain high during the Great Depression?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  <w:t xml:space="preserve">10. How did the Coca-Cola Co. get much wanted Coke to the soldiers fighting overseas in World War II?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