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Senator Richard B. Russell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Former GA Governor Richard Russell was 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Russell became the _____________________________________________ responsible for 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Russell used his power and influence to 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Rep. Carl Vinson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Carl Vinson was ____________________________________ for 50 years.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During his _______________________, Vinson concentrated mostly on ___________ matters.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Rep. Vinson teamed with Sen. Russell to bring many of the military installations to Georgia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GEORGIA AND THE HOLOCAUST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of the _________________________________________________ was the Holocaust that occurred during World War 2 at the hands of Hitler and Nazi Germany: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The Holocaust describes the _______________________________________ and 6 million other minorities by the Nazis.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Hitler was motivated by _________________, and his goal was the ______________________ and others inferior to the German master race.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Jews and others were forced into __________,___________________, and ultimately, 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Georgians are determined not to forget the Holocaust or other forms of racial persecution and genocide: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In 1986, Gov. Joe Frank Harris established the 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In 1988, the commission became a permanent state agency whose goal is to 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___________________________ like the Jewish Federation of Greater Atlanta and the Jewish Family and Career Services provides 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GEORGIA AND PRESIDENT ROOSEVELT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Despite the opposition of Eugene Talmadge, many Georgians felt uniquely close to President Franklin Delano Roosevelt: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President Roosevelt suffered from a painful, 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To treat his polio, Roosevelt often _______________________, where the natural 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 for their pain.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Roosevelt established the Warm Springs Foundation in 1927 and 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Roosevelt’s ________________________ during his visits to Warm Springs 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____________________________that would address real problems.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Many of Roosevelt’s New Deal policies assisted farmers and youth, and the 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 (NYA) helped ________________________ between 16-25 ______________ so they could finish their education.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SS8H9 graphic org Part Deux.docx</dc:title>
</cp:coreProperties>
</file>