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00" w:before="20" w:line="195.65217391304347" w:lineRule="auto"/>
        <w:contextualSpacing w:val="0"/>
      </w:pPr>
      <w:bookmarkStart w:colFirst="0" w:colLast="0" w:name="h.ddb9xpzebt7e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Guiding Questions for Speech Research - </w:t>
      </w:r>
      <w:r w:rsidDel="00000000" w:rsidR="00000000" w:rsidRPr="00000000">
        <w:rPr>
          <w:rFonts w:ascii="Georgia" w:cs="Georgia" w:eastAsia="Georgia" w:hAnsi="Georgia"/>
          <w:b w:val="1"/>
          <w:sz w:val="28"/>
          <w:rtl w:val="0"/>
        </w:rPr>
        <w:t xml:space="preserve">President Roosevelt’s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8"/>
          <w:rtl w:val="0"/>
        </w:rPr>
        <w:t xml:space="preserve">Fireside Chat 19: On the War with Japan (December 9, 1941)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is FDR giving this speech?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is FDR giving this speech?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is FDR’s primary audience? (Provide evidence that led you to this conclusion.)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some of the sacrifices and responsibilities that FDR says U.S. citizens must undertake?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